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020F19"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Alvarez A., Carrion M.J., Puchol E.G. et Lépinette B. et Olivares A. (1981). ‘Le développement de la compréhension auditive par les documents sonores radiophoniques’.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158, 64-67.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Bourdet J.-F (1995). ‘Évaluer les apprentissages’.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275, 47-52.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Champagne-Muzar C. (1996). ‘L’apport des faits phonétiques réceptives au développement de la compréhension auditive en français langue seconde’.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Revue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canadienne des langues vivantes.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52 : 3, 387-415.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Champagne-Muzar C. (1995). ‘L’évaluation des habiletés phonétiques réceptives des apprenants débutants en français langue seconde’.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de l’Association canadienne de linguistique appliquée/ Bulletin of the Canadian Association of Applied Linguistics.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17 : 2, 117-134.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Champagne-Muzar C. (1991). ‘Le rôle des faits phonétiques dans le décodage perceptif en langue seconde : état de la question’.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québécoise de linguistique.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21 : 1, 41-53.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Cornaire C. (1998).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compréhension orale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Paris : CLE International, Coll. Didactique des langues étrangères, 221 p.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Cornaire C. et Tréville M.-C. (1992). ‘L’évaluation de la compréhension en français langue seconde en milieu universitaire aux niveaux élémantaire et intermédiaire’. Dans Courchêne R.J., Glidden J.I., St John J., Thérien C. (eds./réd.) (1992)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Comprehension-based Second Language Teaching/ L’enseignement des langues secondes axé sur la comprehension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, Ottawa : University of Ottawa Press/ Presses de l’Université d’Ottawa, 319-337.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Davoine J.-P. (1982). ‘Des exercices pour les connecteurs de l'oral’.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Didactique des langues étrangères : français, allemand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, Presses de l’Université de Lyon, 109-130.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Duplantie M. et Massey M. (1984). ‘Proposition pour une pédagogie de l'écoute des documents authentiques oraux’.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Etudes de linguistique appliquée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56, 48-59.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Gremmo, M.-J. et Holec H. (1990). ‘La compréhension orale : un processus et un comportement’.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- Recherches et application. (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approche cognitive). 30-40.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Leblanc R. (1986). ‘L’écoute dans l’enseignement des langues à des débutants’.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Canadian Modern Language Review/ Revue canadienne des langues vivantes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42 : 3, 643-657.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Lebre-Peytard M. (1990).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Situations d'oral, documents authentiques: analyse et utilisation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Paris : CLE International, 174 p.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M. (1985). ‘De la théorie de la conversation à la didactique’. Université de Toronto :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 Teaching Strategies,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1, 28-38.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M. (1979). ‘Culture, didactique et discours oral’.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145, 46-53.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Lhote E. (1995).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Enseigner l’oral en interaction. Percevoir, écouter, comprendre.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Paris : Hachette, Coll. Autoformation, 158 p.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Malandain J.-L. (1991). ‘À l’écoute d’une minute de vérité’.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238, 59-69.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Ménard N. et Connors-Pupier K. (1979). ‘Recherches sur la compréhension de français québécois par les élèves anglophones’.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.145, 100-104.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>Moirand S. (1990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)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Grammaire des textes et des dialogues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Paris : Hachette, Coll. F. autoformation. 159 p.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Sitri F. (1996). ‘Situations d’argumentation orales’.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: Recherches et applications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>. Le discours : enjeux et perspectives. 156-163.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Vigner G. (1971). </w:t>
      </w:r>
      <w:r w:rsidRPr="00020F1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Skidiz, lexique du français familier à l'usage des étrangers qui veulent comprendre "ce qu'ils disent".</w:t>
      </w:r>
      <w:r w:rsidRPr="00020F1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Paris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Hachette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Outils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88 p.</w:t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19"/>
    <w:rsid w:val="00020F19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020F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020F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2011-07-06T15:56:00Z</dcterms:created>
  <dcterms:modified xsi:type="dcterms:W3CDTF">2011-07-06T15:57:00Z</dcterms:modified>
</cp:coreProperties>
</file>